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ascii="宋体" w:hAnsi="宋体" w:cs="宋体"/>
          <w:kern w:val="0"/>
          <w:sz w:val="28"/>
          <w:szCs w:val="28"/>
        </w:rPr>
      </w:pPr>
      <w:r>
        <w:rPr>
          <w:rFonts w:hint="eastAsia" w:ascii="宋体" w:hAnsi="宋体" w:cs="宋体"/>
          <w:kern w:val="0"/>
          <w:sz w:val="28"/>
          <w:szCs w:val="28"/>
        </w:rPr>
        <w:t>附件3：</w:t>
      </w:r>
    </w:p>
    <w:p>
      <w:pPr>
        <w:jc w:val="center"/>
        <w:rPr>
          <w:rFonts w:ascii="宋体" w:hAnsi="宋体"/>
          <w:b/>
          <w:sz w:val="32"/>
        </w:rPr>
      </w:pPr>
      <w:r>
        <w:rPr>
          <w:rFonts w:hint="eastAsia" w:ascii="宋体" w:hAnsi="宋体"/>
          <w:b/>
          <w:sz w:val="32"/>
        </w:rPr>
        <w:t>行业计量技术规范项目建议书</w:t>
      </w:r>
    </w:p>
    <w:tbl>
      <w:tblPr>
        <w:tblStyle w:val="6"/>
        <w:tblW w:w="909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2"/>
        <w:gridCol w:w="1134"/>
        <w:gridCol w:w="850"/>
        <w:gridCol w:w="851"/>
        <w:gridCol w:w="1559"/>
        <w:gridCol w:w="709"/>
        <w:gridCol w:w="1134"/>
        <w:gridCol w:w="20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3"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sz w:val="28"/>
                <w:szCs w:val="28"/>
              </w:rPr>
              <w:t>建议项目名称</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jc w:val="center"/>
              <w:rPr>
                <w:sz w:val="28"/>
                <w:szCs w:val="28"/>
              </w:rPr>
            </w:pPr>
            <w:bookmarkStart w:id="0" w:name="_GoBack"/>
            <w:r>
              <w:rPr>
                <w:rFonts w:hint="eastAsia"/>
                <w:sz w:val="28"/>
                <w:szCs w:val="28"/>
              </w:rPr>
              <w:t>非接触式视频引伸计校准规范</w:t>
            </w:r>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65"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制定或修订</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ascii="宋体" w:hAnsi="宋体"/>
                <w:sz w:val="28"/>
                <w:szCs w:val="28"/>
              </w:rPr>
              <w:t xml:space="preserve">   </w:t>
            </w:r>
            <w:r>
              <w:rPr>
                <w:rFonts w:hint="eastAsia" w:ascii="宋体" w:hAnsi="宋体"/>
              </w:rPr>
              <w:t>█</w:t>
            </w:r>
            <w:r>
              <w:rPr>
                <w:rFonts w:hint="eastAsia"/>
                <w:sz w:val="28"/>
                <w:szCs w:val="28"/>
              </w:rPr>
              <w:t xml:space="preserve">制定    </w:t>
            </w:r>
            <w:r>
              <w:rPr>
                <w:rFonts w:hint="eastAsia" w:ascii="宋体" w:hAnsi="宋体"/>
                <w:sz w:val="28"/>
                <w:szCs w:val="28"/>
              </w:rPr>
              <w:t>□</w:t>
            </w:r>
            <w:r>
              <w:rPr>
                <w:rFonts w:hint="eastAsia"/>
                <w:sz w:val="28"/>
                <w:szCs w:val="28"/>
              </w:rPr>
              <w:t>修订</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sz w:val="28"/>
                <w:szCs w:val="28"/>
              </w:rPr>
              <w:t>被修订计量技术规范号</w:t>
            </w:r>
          </w:p>
        </w:tc>
        <w:tc>
          <w:tcPr>
            <w:tcW w:w="2039" w:type="dxa"/>
            <w:tcBorders>
              <w:top w:val="single" w:color="auto" w:sz="4" w:space="0"/>
              <w:left w:val="single" w:color="auto" w:sz="4" w:space="0"/>
              <w:bottom w:val="single" w:color="auto" w:sz="4" w:space="0"/>
              <w:right w:val="single" w:color="auto" w:sz="4" w:space="0"/>
            </w:tcBorders>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9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计量技术规范性质</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 xml:space="preserve"> □检定规程</w:t>
            </w:r>
          </w:p>
          <w:p>
            <w:pPr>
              <w:spacing w:line="400" w:lineRule="exact"/>
              <w:jc w:val="center"/>
              <w:rPr>
                <w:rFonts w:hint="eastAsia" w:ascii="宋体" w:hAnsi="宋体"/>
                <w:sz w:val="28"/>
                <w:szCs w:val="28"/>
              </w:rPr>
            </w:pPr>
            <w:r>
              <w:rPr>
                <w:rFonts w:hint="eastAsia"/>
                <w:sz w:val="28"/>
                <w:szCs w:val="28"/>
              </w:rPr>
              <w:t xml:space="preserve"> </w:t>
            </w:r>
            <w:r>
              <w:rPr>
                <w:rFonts w:hint="eastAsia" w:ascii="宋体" w:hAnsi="宋体"/>
              </w:rPr>
              <w:t>█</w:t>
            </w:r>
            <w:r>
              <w:rPr>
                <w:rFonts w:hint="eastAsia"/>
                <w:sz w:val="28"/>
                <w:szCs w:val="28"/>
              </w:rPr>
              <w:t>校准规范</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ascii="宋体" w:hAnsi="宋体"/>
                <w:sz w:val="28"/>
                <w:szCs w:val="28"/>
              </w:rPr>
              <w:t>计量技术规范类别</w:t>
            </w:r>
          </w:p>
        </w:tc>
        <w:tc>
          <w:tcPr>
            <w:tcW w:w="203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□重点</w:t>
            </w:r>
          </w:p>
          <w:p>
            <w:pPr>
              <w:spacing w:line="400" w:lineRule="exact"/>
              <w:jc w:val="center"/>
              <w:rPr>
                <w:sz w:val="28"/>
                <w:szCs w:val="28"/>
              </w:rPr>
            </w:pPr>
            <w:r>
              <w:rPr>
                <w:rFonts w:hint="eastAsia" w:ascii="宋体" w:hAnsi="宋体"/>
              </w:rPr>
              <w:t>█</w:t>
            </w:r>
            <w:r>
              <w:rPr>
                <w:rFonts w:hint="eastAsia"/>
                <w:sz w:val="28"/>
                <w:szCs w:val="28"/>
              </w:rPr>
              <w:t>基础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主要起草单位</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4"/>
                <w:szCs w:val="24"/>
              </w:rPr>
              <w:t>西北有色金属研究院</w:t>
            </w:r>
            <w:r>
              <w:rPr>
                <w:rFonts w:hint="eastAsia"/>
                <w:sz w:val="24"/>
                <w:szCs w:val="24"/>
                <w:lang w:val="en-US" w:eastAsia="zh-CN"/>
              </w:rPr>
              <w:t>(中国有色金属工业西北质量监督检验中心）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rFonts w:hint="eastAsia"/>
                <w:color w:val="000000"/>
                <w:sz w:val="28"/>
                <w:szCs w:val="28"/>
              </w:rPr>
              <w:t>联系人</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rFonts w:hint="eastAsia"/>
                <w:color w:val="000000"/>
                <w:sz w:val="28"/>
                <w:szCs w:val="28"/>
              </w:rPr>
              <w:t>田晨超</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color w:val="000000"/>
                <w:sz w:val="28"/>
                <w:szCs w:val="28"/>
              </w:rPr>
              <w:t>联系电话</w:t>
            </w:r>
          </w:p>
        </w:tc>
        <w:tc>
          <w:tcPr>
            <w:tcW w:w="2039" w:type="dxa"/>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1</w:t>
            </w:r>
            <w:r>
              <w:rPr>
                <w:sz w:val="28"/>
                <w:szCs w:val="28"/>
              </w:rPr>
              <w:t>3991237721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000000"/>
                <w:sz w:val="28"/>
                <w:szCs w:val="28"/>
              </w:rPr>
            </w:pPr>
            <w:r>
              <w:rPr>
                <w:rFonts w:hint="eastAsia" w:ascii="宋体" w:hAnsi="宋体"/>
                <w:color w:val="000000"/>
                <w:sz w:val="28"/>
                <w:szCs w:val="28"/>
              </w:rPr>
              <w:t>任务年限</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color w:val="000000"/>
                <w:sz w:val="28"/>
                <w:szCs w:val="28"/>
              </w:rPr>
              <w:t>两年</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000000"/>
                <w:sz w:val="28"/>
                <w:szCs w:val="28"/>
              </w:rPr>
            </w:pPr>
            <w:r>
              <w:rPr>
                <w:rFonts w:hint="eastAsia" w:ascii="宋体" w:hAnsi="宋体"/>
                <w:color w:val="000000"/>
                <w:sz w:val="28"/>
                <w:szCs w:val="28"/>
              </w:rPr>
              <w:t>申请经费</w:t>
            </w:r>
          </w:p>
        </w:tc>
        <w:tc>
          <w:tcPr>
            <w:tcW w:w="2039" w:type="dxa"/>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2.3万元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参加单位</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jc w:val="center"/>
              <w:rPr>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8"/>
                <w:szCs w:val="28"/>
              </w:rPr>
            </w:pPr>
            <w:r>
              <w:rPr>
                <w:rFonts w:hint="eastAsia"/>
                <w:sz w:val="28"/>
                <w:szCs w:val="28"/>
              </w:rPr>
              <w:t>具备的特点</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numPr>
                <w:ilvl w:val="0"/>
                <w:numId w:val="1"/>
              </w:numPr>
              <w:ind w:left="-325" w:leftChars="-155"/>
              <w:jc w:val="center"/>
              <w:rPr>
                <w:sz w:val="28"/>
                <w:szCs w:val="28"/>
              </w:rPr>
            </w:pPr>
            <w:r>
              <w:rPr>
                <w:rFonts w:hint="eastAsia"/>
                <w:sz w:val="28"/>
                <w:szCs w:val="28"/>
              </w:rPr>
              <w:t xml:space="preserve">安全 □节能 □环保 </w:t>
            </w:r>
            <w:r>
              <w:rPr>
                <w:rFonts w:hint="eastAsia" w:ascii="宋体" w:hAnsi="宋体"/>
              </w:rPr>
              <w:t>█</w:t>
            </w:r>
            <w:r>
              <w:rPr>
                <w:rFonts w:hint="eastAsia"/>
                <w:sz w:val="28"/>
                <w:szCs w:val="28"/>
              </w:rPr>
              <w:t>自主创新 □其他＿＿＿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8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8"/>
                <w:szCs w:val="28"/>
              </w:rPr>
            </w:pPr>
            <w:r>
              <w:rPr>
                <w:rFonts w:hint="eastAsia"/>
                <w:sz w:val="28"/>
                <w:szCs w:val="28"/>
              </w:rPr>
              <w:t>目的、意义和</w:t>
            </w:r>
          </w:p>
          <w:p>
            <w:pPr>
              <w:spacing w:line="500" w:lineRule="exact"/>
              <w:jc w:val="center"/>
              <w:rPr>
                <w:sz w:val="28"/>
                <w:szCs w:val="28"/>
              </w:rPr>
            </w:pPr>
            <w:r>
              <w:rPr>
                <w:rFonts w:hint="eastAsia"/>
                <w:sz w:val="28"/>
                <w:szCs w:val="28"/>
              </w:rPr>
              <w:t>必要性</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rPr>
            </w:pPr>
            <w:r>
              <w:rPr>
                <w:rFonts w:hint="eastAsia"/>
              </w:rPr>
              <w:t>相比于传统接触式引伸计，非接触式视频引伸计作为材料静载受力下应变分量的一种采集手段，几乎适用于所有材料，且具有动态行程范围大，标距任意设定，避免刀口对试样的划伤、滑脱及可用于超高温环境试验等诸多优点，近些年已广泛应用于单轴拉伸试验过程中相关力学性能指标的测定。</w:t>
            </w:r>
          </w:p>
          <w:p>
            <w:pPr>
              <w:rPr>
                <w:rFonts w:hint="eastAsia"/>
              </w:rPr>
            </w:pPr>
            <w:r>
              <w:rPr>
                <w:rFonts w:hint="eastAsia"/>
                <w:lang w:val="en-US" w:eastAsia="zh-CN"/>
              </w:rPr>
              <w:t xml:space="preserve">   </w:t>
            </w:r>
            <w:r>
              <w:rPr>
                <w:rFonts w:hint="eastAsia"/>
              </w:rPr>
              <w:t>基于非接触视频引伸计的工作原理，所采用的高分辨率CCD摄像头及图像处理算法等，现有的引伸计检定规程JJG 762-2007中所采用的引伸计标定器已不能完全满足对视频引伸计的检定。所提出的视频引伸计校准规范旨在其工作原理的基础上，通过引伸计标定器的使用及双通道应变分量的采集，对视频引伸计在被测试样的全应变阶段进行校准。目前，各省市计量技术研究院对视频引伸计的校准工作未开展，或存在不合理不统一的操作。所提出的校准规范望能开展对视频引伸计的校准及分级系统的校准等工作，促进视频引伸计在科研院所及工业产品中更合理更准确的应用。</w:t>
            </w:r>
          </w:p>
          <w:p>
            <w:pPr>
              <w:widowControl/>
              <w:jc w:val="left"/>
              <w:rPr>
                <w:rFonts w:ascii="Calibri" w:hAnsi="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19"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范围和主要</w:t>
            </w:r>
          </w:p>
          <w:p>
            <w:pPr>
              <w:jc w:val="center"/>
              <w:rPr>
                <w:sz w:val="28"/>
                <w:szCs w:val="28"/>
              </w:rPr>
            </w:pPr>
            <w:r>
              <w:rPr>
                <w:rFonts w:hint="eastAsia"/>
                <w:sz w:val="28"/>
                <w:szCs w:val="28"/>
              </w:rPr>
              <w:t>计量特性</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widowControl/>
              <w:ind w:firstLine="346" w:firstLineChars="165"/>
              <w:jc w:val="left"/>
            </w:pPr>
            <w:r>
              <w:rPr>
                <w:rFonts w:hint="eastAsia"/>
              </w:rPr>
              <w:t>该校准规范适用于非接触式标准或先进视频引伸计，所对应的校准范围应根据引伸计的行程用途及被测材料的特性来确定，对用于测试材料弹性模量或规定塑性延伸强度等参数的视频引伸计应在较小量程范围内进行检定校准。根据视频引伸计所特有的任一标距特性及厂家提供的分辨率值，对视频引伸计在确定标距下，一定行程范围内的准确度等级进行划定。针对划定出的等级范围对视频引伸计的标距相对误差、一定范围下的分辨力及示值误差、重复性进行校准。同时，根据客户的用途及不同材料所固有的属性对视频引伸计的校准范围和已知范围下的最小分辨力作出确切说明，方便客户依据此校准规范开展视频引伸计的期间核查和自校准等相关工作。</w:t>
            </w:r>
          </w:p>
          <w:p>
            <w:pPr>
              <w:widowControl/>
              <w:ind w:firstLine="346" w:firstLineChars="165"/>
              <w:jc w:val="left"/>
            </w:pPr>
            <w:r>
              <w:rPr>
                <w:rFonts w:hint="eastAsia"/>
              </w:rPr>
              <w:t>针对视频引伸计的工作原理和计量特性，该校准规范的起草参照国内现行引伸计检定规范JJG 762-2007及美国国家标准ASTM E 83-16 引伸计系统的校准和分级系统校准规范等相关标准。目前，西北有色金属研究院材料分析中心拥有双通道应变采集INSTRON 5985系电子万能材料试验机一台，并配备有先进视频引伸计2663-821一台，其量程0-200mm，分辨率优于0.0005mm。依托现有设备，通过引伸计标定仪及应变的双通道采集来开展前期视频引伸计的校准规范试验，为该校准规范的起草作支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7"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水平</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rPr>
                <w:sz w:val="28"/>
                <w:szCs w:val="28"/>
              </w:rPr>
            </w:pPr>
            <w:r>
              <w:rPr>
                <w:rFonts w:hint="eastAsia"/>
                <w:sz w:val="28"/>
                <w:szCs w:val="28"/>
              </w:rPr>
              <w:t xml:space="preserve">       □国际先进        </w:t>
            </w:r>
            <w:r>
              <w:rPr>
                <w:rFonts w:hint="eastAsia" w:ascii="宋体" w:hAnsi="宋体"/>
              </w:rPr>
              <w:t>█</w:t>
            </w:r>
            <w:r>
              <w:rPr>
                <w:rFonts w:hint="eastAsia"/>
                <w:sz w:val="28"/>
                <w:szCs w:val="28"/>
              </w:rPr>
              <w:t xml:space="preserve">国内先进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8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8"/>
                <w:szCs w:val="28"/>
              </w:rPr>
            </w:pPr>
            <w:r>
              <w:rPr>
                <w:rFonts w:hint="eastAsia"/>
                <w:sz w:val="28"/>
                <w:szCs w:val="28"/>
              </w:rPr>
              <w:t>国内外情况</w:t>
            </w:r>
          </w:p>
          <w:p>
            <w:pPr>
              <w:spacing w:line="500" w:lineRule="exact"/>
              <w:jc w:val="center"/>
              <w:rPr>
                <w:sz w:val="28"/>
                <w:szCs w:val="28"/>
              </w:rPr>
            </w:pPr>
            <w:r>
              <w:rPr>
                <w:rFonts w:hint="eastAsia"/>
                <w:sz w:val="28"/>
                <w:szCs w:val="28"/>
              </w:rPr>
              <w:t>简要说明</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widowControl/>
              <w:ind w:firstLine="420" w:firstLineChars="200"/>
              <w:jc w:val="left"/>
              <w:rPr>
                <w:rFonts w:hint="eastAsia"/>
              </w:rPr>
            </w:pPr>
            <w:r>
              <w:rPr>
                <w:rFonts w:hint="eastAsia"/>
              </w:rPr>
              <w:t>参照现有的引伸计检定规程，依据视频引伸计的工作原理和产品标准及方法标准的具体要求，提出视频引伸计的校准细则。目前，仅见有视频引伸计的使用和研究方面的工作，未发现涉及其计量校准等相关内容。</w:t>
            </w:r>
          </w:p>
          <w:p>
            <w:pPr>
              <w:ind w:left="360"/>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28"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主要</w:t>
            </w:r>
          </w:p>
          <w:p>
            <w:pPr>
              <w:spacing w:line="500" w:lineRule="exact"/>
              <w:jc w:val="center"/>
              <w:rPr>
                <w:sz w:val="24"/>
              </w:rPr>
            </w:pPr>
            <w:r>
              <w:rPr>
                <w:rFonts w:hint="eastAsia"/>
                <w:sz w:val="24"/>
              </w:rPr>
              <w:t>起草单位</w:t>
            </w:r>
          </w:p>
        </w:tc>
        <w:tc>
          <w:tcPr>
            <w:tcW w:w="198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（签字、盖公章）</w:t>
            </w:r>
          </w:p>
          <w:p>
            <w:pPr>
              <w:spacing w:line="500" w:lineRule="exact"/>
              <w:jc w:val="center"/>
              <w:rPr>
                <w:rFonts w:hint="eastAsia"/>
                <w:sz w:val="24"/>
              </w:rPr>
            </w:pPr>
            <w:r>
              <w:rPr>
                <w:rFonts w:hint="eastAsia"/>
                <w:sz w:val="24"/>
              </w:rPr>
              <w:t xml:space="preserve">  </w:t>
            </w:r>
          </w:p>
          <w:p>
            <w:pPr>
              <w:spacing w:line="500" w:lineRule="exact"/>
              <w:jc w:val="center"/>
              <w:rPr>
                <w:sz w:val="24"/>
              </w:rPr>
            </w:pPr>
          </w:p>
          <w:p>
            <w:pPr>
              <w:spacing w:line="500" w:lineRule="exact"/>
              <w:jc w:val="center"/>
              <w:rPr>
                <w:sz w:val="24"/>
              </w:rPr>
            </w:pPr>
            <w:r>
              <w:rPr>
                <w:rFonts w:hint="eastAsia"/>
                <w:sz w:val="24"/>
              </w:rPr>
              <w:t>月  日</w:t>
            </w:r>
          </w:p>
        </w:tc>
        <w:tc>
          <w:tcPr>
            <w:tcW w:w="85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技术</w:t>
            </w:r>
          </w:p>
          <w:p>
            <w:pPr>
              <w:spacing w:line="500" w:lineRule="exact"/>
              <w:jc w:val="center"/>
              <w:rPr>
                <w:sz w:val="24"/>
              </w:rPr>
            </w:pPr>
            <w:r>
              <w:rPr>
                <w:rFonts w:hint="eastAsia"/>
                <w:sz w:val="24"/>
              </w:rPr>
              <w:t>委员会</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（盖公章）</w:t>
            </w:r>
          </w:p>
          <w:p>
            <w:pPr>
              <w:spacing w:line="500" w:lineRule="exact"/>
              <w:jc w:val="center"/>
              <w:rPr>
                <w:rFonts w:hint="eastAsia"/>
                <w:sz w:val="24"/>
              </w:rPr>
            </w:pPr>
          </w:p>
          <w:p>
            <w:pPr>
              <w:spacing w:line="500" w:lineRule="exact"/>
              <w:jc w:val="center"/>
              <w:rPr>
                <w:sz w:val="24"/>
              </w:rPr>
            </w:pPr>
          </w:p>
          <w:p>
            <w:pPr>
              <w:spacing w:line="500" w:lineRule="exact"/>
              <w:jc w:val="center"/>
              <w:rPr>
                <w:sz w:val="24"/>
              </w:rPr>
            </w:pPr>
            <w:r>
              <w:rPr>
                <w:rFonts w:hint="eastAsia"/>
                <w:sz w:val="24"/>
              </w:rPr>
              <w:t>月</w:t>
            </w:r>
            <w:r>
              <w:rPr>
                <w:sz w:val="24"/>
              </w:rPr>
              <w:t xml:space="preserve">  </w:t>
            </w:r>
            <w:r>
              <w:rPr>
                <w:rFonts w:hint="eastAsia"/>
                <w:sz w:val="24"/>
              </w:rPr>
              <w:t>日</w:t>
            </w:r>
          </w:p>
        </w:tc>
        <w:tc>
          <w:tcPr>
            <w:tcW w:w="113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部委托</w:t>
            </w:r>
          </w:p>
          <w:p>
            <w:pPr>
              <w:spacing w:line="500" w:lineRule="exact"/>
              <w:jc w:val="center"/>
              <w:rPr>
                <w:rFonts w:hint="eastAsia"/>
                <w:sz w:val="24"/>
              </w:rPr>
            </w:pPr>
            <w:r>
              <w:rPr>
                <w:rFonts w:hint="eastAsia"/>
                <w:sz w:val="24"/>
              </w:rPr>
              <w:t>支撑</w:t>
            </w:r>
          </w:p>
          <w:p>
            <w:pPr>
              <w:spacing w:line="500" w:lineRule="exact"/>
              <w:jc w:val="center"/>
              <w:rPr>
                <w:sz w:val="24"/>
              </w:rPr>
            </w:pPr>
            <w:r>
              <w:rPr>
                <w:rFonts w:hint="eastAsia"/>
                <w:sz w:val="24"/>
              </w:rPr>
              <w:t>单位</w:t>
            </w:r>
          </w:p>
        </w:tc>
        <w:tc>
          <w:tcPr>
            <w:tcW w:w="203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（盖公章）</w:t>
            </w:r>
          </w:p>
          <w:p>
            <w:pPr>
              <w:spacing w:line="500" w:lineRule="exact"/>
              <w:jc w:val="center"/>
              <w:rPr>
                <w:rFonts w:hint="eastAsia"/>
                <w:sz w:val="24"/>
              </w:rPr>
            </w:pPr>
          </w:p>
          <w:p>
            <w:pPr>
              <w:spacing w:line="500" w:lineRule="exact"/>
              <w:jc w:val="center"/>
              <w:rPr>
                <w:sz w:val="24"/>
              </w:rPr>
            </w:pPr>
          </w:p>
          <w:p>
            <w:pPr>
              <w:spacing w:line="500" w:lineRule="exact"/>
              <w:jc w:val="center"/>
              <w:rPr>
                <w:sz w:val="24"/>
              </w:rPr>
            </w:pPr>
            <w:r>
              <w:rPr>
                <w:rFonts w:hint="eastAsia"/>
                <w:sz w:val="24"/>
              </w:rPr>
              <w:t>月</w:t>
            </w:r>
            <w:r>
              <w:rPr>
                <w:sz w:val="24"/>
              </w:rPr>
              <w:t xml:space="preserve">  </w:t>
            </w:r>
            <w:r>
              <w:rPr>
                <w:rFonts w:hint="eastAsia"/>
                <w:sz w:val="24"/>
              </w:rPr>
              <w:t>日</w:t>
            </w:r>
          </w:p>
        </w:tc>
      </w:tr>
    </w:tbl>
    <w:p>
      <w:pPr>
        <w:rPr>
          <w:rFonts w:hint="eastAsia"/>
        </w:rPr>
      </w:pPr>
      <w:r>
        <w:rPr>
          <w:rFonts w:hint="eastAsia"/>
        </w:rPr>
        <w:t>填写说明：1.表中第</w:t>
      </w:r>
      <w:r>
        <w:t>2</w:t>
      </w:r>
      <w:r>
        <w:rPr>
          <w:rFonts w:hint="eastAsia"/>
        </w:rPr>
        <w:t>，</w:t>
      </w:r>
      <w:r>
        <w:t>3</w:t>
      </w:r>
      <w:r>
        <w:rPr>
          <w:rFonts w:hint="eastAsia"/>
        </w:rPr>
        <w:t>，8行，请在选定的内容上填写 “</w:t>
      </w:r>
      <w:r>
        <w:rPr>
          <w:rFonts w:hint="eastAsia" w:ascii="宋体" w:hAnsi="宋体"/>
        </w:rPr>
        <w:t>█</w:t>
      </w:r>
      <w:r>
        <w:rPr>
          <w:rFonts w:hint="eastAsia"/>
        </w:rPr>
        <w:t>”的符号。</w:t>
      </w:r>
    </w:p>
    <w:p>
      <w:pPr>
        <w:rPr>
          <w:szCs w:val="21"/>
        </w:rPr>
      </w:pPr>
      <w:r>
        <w:rPr>
          <w:rFonts w:hint="eastAsia"/>
        </w:rPr>
        <w:t xml:space="preserve">          </w:t>
      </w:r>
      <w:r>
        <w:rPr>
          <w:rFonts w:hint="eastAsia"/>
          <w:szCs w:val="21"/>
        </w:rPr>
        <w:t>2.填写制定或修订项目中，若选择修订则必须填写被修订计量技术规范号。</w:t>
      </w:r>
    </w:p>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bullet"/>
      <w:lvlText w:val="□"/>
      <w:lvlJc w:val="left"/>
      <w:pPr>
        <w:ind w:left="360" w:hanging="360"/>
      </w:pPr>
      <w:rPr>
        <w:rFonts w:hint="eastAsia" w:ascii="宋体" w:hAnsi="宋体" w:eastAsia="宋体" w:cs="Times New Roman"/>
      </w:rPr>
    </w:lvl>
    <w:lvl w:ilvl="1" w:tentative="0">
      <w:start w:val="1"/>
      <w:numFmt w:val="bullet"/>
      <w:lvlRestart w:val="0"/>
      <w:lvlText w:val=""/>
      <w:lvlJc w:val="left"/>
      <w:pPr>
        <w:ind w:left="840" w:hanging="420"/>
      </w:pPr>
      <w:rPr>
        <w:rFonts w:hint="default" w:ascii="Wingdings" w:hAnsi="Wingdings"/>
      </w:rPr>
    </w:lvl>
    <w:lvl w:ilvl="2" w:tentative="0">
      <w:start w:val="1"/>
      <w:numFmt w:val="bullet"/>
      <w:lvlRestart w:val="0"/>
      <w:lvlText w:val=""/>
      <w:lvlJc w:val="left"/>
      <w:pPr>
        <w:ind w:left="1260" w:hanging="420"/>
      </w:pPr>
      <w:rPr>
        <w:rFonts w:hint="default" w:ascii="Wingdings" w:hAnsi="Wingdings"/>
      </w:rPr>
    </w:lvl>
    <w:lvl w:ilvl="3" w:tentative="0">
      <w:start w:val="1"/>
      <w:numFmt w:val="bullet"/>
      <w:lvlRestart w:val="0"/>
      <w:lvlText w:val=""/>
      <w:lvlJc w:val="left"/>
      <w:pPr>
        <w:ind w:left="1680" w:hanging="420"/>
      </w:pPr>
      <w:rPr>
        <w:rFonts w:hint="default" w:ascii="Wingdings" w:hAnsi="Wingdings"/>
      </w:rPr>
    </w:lvl>
    <w:lvl w:ilvl="4" w:tentative="0">
      <w:start w:val="1"/>
      <w:numFmt w:val="bullet"/>
      <w:lvlRestart w:val="0"/>
      <w:lvlText w:val=""/>
      <w:lvlJc w:val="left"/>
      <w:pPr>
        <w:ind w:left="2100" w:hanging="420"/>
      </w:pPr>
      <w:rPr>
        <w:rFonts w:hint="default" w:ascii="Wingdings" w:hAnsi="Wingdings"/>
      </w:rPr>
    </w:lvl>
    <w:lvl w:ilvl="5" w:tentative="0">
      <w:start w:val="1"/>
      <w:numFmt w:val="bullet"/>
      <w:lvlRestart w:val="0"/>
      <w:lvlText w:val=""/>
      <w:lvlJc w:val="left"/>
      <w:pPr>
        <w:ind w:left="2520" w:hanging="420"/>
      </w:pPr>
      <w:rPr>
        <w:rFonts w:hint="default" w:ascii="Wingdings" w:hAnsi="Wingdings"/>
      </w:rPr>
    </w:lvl>
    <w:lvl w:ilvl="6" w:tentative="0">
      <w:start w:val="1"/>
      <w:numFmt w:val="bullet"/>
      <w:lvlRestart w:val="0"/>
      <w:lvlText w:val=""/>
      <w:lvlJc w:val="left"/>
      <w:pPr>
        <w:ind w:left="2940" w:hanging="420"/>
      </w:pPr>
      <w:rPr>
        <w:rFonts w:hint="default" w:ascii="Wingdings" w:hAnsi="Wingdings"/>
      </w:rPr>
    </w:lvl>
    <w:lvl w:ilvl="7" w:tentative="0">
      <w:start w:val="1"/>
      <w:numFmt w:val="bullet"/>
      <w:lvlRestart w:val="0"/>
      <w:lvlText w:val=""/>
      <w:lvlJc w:val="left"/>
      <w:pPr>
        <w:ind w:left="3360" w:hanging="420"/>
      </w:pPr>
      <w:rPr>
        <w:rFonts w:hint="default" w:ascii="Wingdings" w:hAnsi="Wingdings"/>
      </w:rPr>
    </w:lvl>
    <w:lvl w:ilvl="8" w:tentative="0">
      <w:start w:val="1"/>
      <w:numFmt w:val="bullet"/>
      <w:lvlRestart w:val="0"/>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682A"/>
    <w:rsid w:val="00061EF9"/>
    <w:rsid w:val="0006791C"/>
    <w:rsid w:val="000B2C87"/>
    <w:rsid w:val="000B76A7"/>
    <w:rsid w:val="001327BF"/>
    <w:rsid w:val="00137D53"/>
    <w:rsid w:val="00142C97"/>
    <w:rsid w:val="00165CF4"/>
    <w:rsid w:val="00191A23"/>
    <w:rsid w:val="001A6319"/>
    <w:rsid w:val="001B1109"/>
    <w:rsid w:val="001C7479"/>
    <w:rsid w:val="001D6492"/>
    <w:rsid w:val="001F1E15"/>
    <w:rsid w:val="00220765"/>
    <w:rsid w:val="00224E9C"/>
    <w:rsid w:val="002361A8"/>
    <w:rsid w:val="0024351E"/>
    <w:rsid w:val="002A52DC"/>
    <w:rsid w:val="002C2E4A"/>
    <w:rsid w:val="002D0B8E"/>
    <w:rsid w:val="002E2E3A"/>
    <w:rsid w:val="003813B1"/>
    <w:rsid w:val="003C5E0E"/>
    <w:rsid w:val="0045334C"/>
    <w:rsid w:val="004F2F0A"/>
    <w:rsid w:val="00516D40"/>
    <w:rsid w:val="005774D1"/>
    <w:rsid w:val="005B43B7"/>
    <w:rsid w:val="00641058"/>
    <w:rsid w:val="00643672"/>
    <w:rsid w:val="00647228"/>
    <w:rsid w:val="006574E4"/>
    <w:rsid w:val="00681DE2"/>
    <w:rsid w:val="00683E3B"/>
    <w:rsid w:val="0075669B"/>
    <w:rsid w:val="007F4C71"/>
    <w:rsid w:val="00823986"/>
    <w:rsid w:val="008C6D89"/>
    <w:rsid w:val="008E14B4"/>
    <w:rsid w:val="00927B91"/>
    <w:rsid w:val="009773E1"/>
    <w:rsid w:val="00980C76"/>
    <w:rsid w:val="009D7AFC"/>
    <w:rsid w:val="00A515A1"/>
    <w:rsid w:val="00AB2D0B"/>
    <w:rsid w:val="00AF6CE9"/>
    <w:rsid w:val="00B17841"/>
    <w:rsid w:val="00B24859"/>
    <w:rsid w:val="00B36306"/>
    <w:rsid w:val="00B47AAE"/>
    <w:rsid w:val="00B62EE9"/>
    <w:rsid w:val="00B73443"/>
    <w:rsid w:val="00BB04B5"/>
    <w:rsid w:val="00BB3BAA"/>
    <w:rsid w:val="00BD1D8A"/>
    <w:rsid w:val="00BD4ABD"/>
    <w:rsid w:val="00BD59EB"/>
    <w:rsid w:val="00C500B4"/>
    <w:rsid w:val="00C6562D"/>
    <w:rsid w:val="00C73A6F"/>
    <w:rsid w:val="00C91BE8"/>
    <w:rsid w:val="00CD0CA1"/>
    <w:rsid w:val="00CF770F"/>
    <w:rsid w:val="00D311E0"/>
    <w:rsid w:val="00D40D04"/>
    <w:rsid w:val="00DA4C2A"/>
    <w:rsid w:val="00E061A0"/>
    <w:rsid w:val="00EB250E"/>
    <w:rsid w:val="00F23DCA"/>
    <w:rsid w:val="00F27F87"/>
    <w:rsid w:val="00F6682A"/>
    <w:rsid w:val="00F937B3"/>
    <w:rsid w:val="00F940EC"/>
    <w:rsid w:val="00FF1C29"/>
    <w:rsid w:val="07D72AF6"/>
    <w:rsid w:val="0DB56D8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100" w:beforeAutospacing="1" w:after="100" w:afterAutospacing="1"/>
      <w:jc w:val="left"/>
    </w:pPr>
    <w:rPr>
      <w:rFonts w:ascii="Times New Roman" w:hAnsi="Times New Roman" w:eastAsia="宋体"/>
      <w:kern w:val="0"/>
      <w:sz w:val="24"/>
      <w:szCs w:val="24"/>
    </w:rPr>
  </w:style>
  <w:style w:type="table" w:styleId="7">
    <w:name w:val="Table Grid"/>
    <w:basedOn w:val="6"/>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99"/>
    <w:pPr>
      <w:ind w:firstLine="420" w:firstLineChars="200"/>
    </w:pPr>
  </w:style>
  <w:style w:type="character" w:customStyle="1" w:styleId="9">
    <w:name w:val="页眉 Char"/>
    <w:basedOn w:val="5"/>
    <w:link w:val="3"/>
    <w:semiHidden/>
    <w:uiPriority w:val="99"/>
    <w:rPr>
      <w:sz w:val="18"/>
      <w:szCs w:val="18"/>
    </w:rPr>
  </w:style>
  <w:style w:type="character" w:customStyle="1" w:styleId="10">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1882</Words>
  <Characters>10729</Characters>
  <Lines>89</Lines>
  <Paragraphs>25</Paragraphs>
  <TotalTime>0</TotalTime>
  <ScaleCrop>false</ScaleCrop>
  <LinksUpToDate>false</LinksUpToDate>
  <CharactersWithSpaces>12586</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2018-01-25T14:31:00Z</dcterms:created>
  <dc:creator>wayne and tracy</dc:creator>
  <cp:lastModifiedBy>huangxy</cp:lastModifiedBy>
  <cp:lastPrinted>2018-01-31T02:52:00Z</cp:lastPrinted>
  <dcterms:modified xsi:type="dcterms:W3CDTF">2019-02-01T03:21:50Z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